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F1A2" w14:textId="77777777" w:rsidR="006E1AC2" w:rsidRDefault="00651849" w:rsidP="0016685F">
      <w:pPr>
        <w:pStyle w:val="berschrift2"/>
        <w:numPr>
          <w:ilvl w:val="0"/>
          <w:numId w:val="0"/>
        </w:numPr>
        <w:ind w:left="10" w:hanging="10"/>
      </w:pPr>
      <w:bookmarkStart w:id="0" w:name="_Toc23945"/>
      <w:r>
        <w:t xml:space="preserve">Datenschutzerklärung - Muster </w:t>
      </w:r>
      <w:bookmarkEnd w:id="0"/>
    </w:p>
    <w:p w14:paraId="0FA08399" w14:textId="4D2F588D" w:rsidR="00626463" w:rsidRPr="00626463" w:rsidRDefault="00A0440A">
      <w:pPr>
        <w:ind w:left="-5"/>
        <w:rPr>
          <w:i/>
          <w:iCs/>
        </w:rPr>
      </w:pPr>
      <w:r w:rsidRPr="00626463">
        <w:rPr>
          <w:i/>
          <w:iCs/>
        </w:rPr>
        <w:t xml:space="preserve">Das Muster ist ein Ausschnitt </w:t>
      </w:r>
      <w:r w:rsidR="00626463" w:rsidRPr="00626463">
        <w:rPr>
          <w:i/>
          <w:iCs/>
        </w:rPr>
        <w:t>der veröffentlichen Verhaltensregeln von Garagen- und Parkplatzbetrieben des Fachverbandes Garagen, Tankstellen und Serviceunternehmungen der WKO</w:t>
      </w:r>
      <w:r w:rsidR="00947A7E">
        <w:rPr>
          <w:i/>
          <w:iCs/>
        </w:rPr>
        <w:t xml:space="preserve"> angepasst an die </w:t>
      </w:r>
      <w:r w:rsidR="007C3174">
        <w:rPr>
          <w:i/>
          <w:iCs/>
        </w:rPr>
        <w:t xml:space="preserve">Datenschutzeinstellungen der </w:t>
      </w:r>
      <w:proofErr w:type="spellStart"/>
      <w:r w:rsidR="007C3174">
        <w:rPr>
          <w:i/>
          <w:iCs/>
        </w:rPr>
        <w:t>Arivo</w:t>
      </w:r>
      <w:proofErr w:type="spellEnd"/>
      <w:r w:rsidR="007C3174">
        <w:rPr>
          <w:i/>
          <w:iCs/>
        </w:rPr>
        <w:t xml:space="preserve"> </w:t>
      </w:r>
      <w:r w:rsidR="009B4135">
        <w:rPr>
          <w:i/>
          <w:iCs/>
        </w:rPr>
        <w:t>Software</w:t>
      </w:r>
      <w:r w:rsidR="007C3174">
        <w:rPr>
          <w:i/>
          <w:iCs/>
        </w:rPr>
        <w:t>.</w:t>
      </w:r>
    </w:p>
    <w:p w14:paraId="43CF872E" w14:textId="77777777" w:rsidR="00626463" w:rsidRDefault="00626463">
      <w:pPr>
        <w:ind w:left="-5"/>
      </w:pPr>
    </w:p>
    <w:p w14:paraId="69DD860D" w14:textId="1BE5392F" w:rsidR="006E1AC2" w:rsidRDefault="00651849">
      <w:pPr>
        <w:ind w:left="-5"/>
      </w:pPr>
      <w:r>
        <w:t xml:space="preserve">Dieses Muster enthält die gesetzlichen Mindestangaben nach Art. 13 DSGVO. Für die Einhaltung dieser Verhaltensregeln ist es nicht notwendig, dass das Muster wörtlich übernommen wird. Eine sinngemäße Übernahme ist ausreichend. </w:t>
      </w:r>
    </w:p>
    <w:p w14:paraId="726C9562" w14:textId="77777777" w:rsidR="006E1AC2" w:rsidRDefault="00651849">
      <w:pPr>
        <w:spacing w:after="0" w:line="259" w:lineRule="auto"/>
        <w:ind w:left="0" w:firstLine="0"/>
      </w:pPr>
      <w:r>
        <w:t xml:space="preserve"> </w:t>
      </w:r>
    </w:p>
    <w:p w14:paraId="4AABC9AF" w14:textId="77777777" w:rsidR="006E1AC2" w:rsidRDefault="00651849">
      <w:pPr>
        <w:spacing w:after="43" w:line="259" w:lineRule="auto"/>
        <w:ind w:left="-29" w:right="-31" w:firstLine="0"/>
      </w:pPr>
      <w:r>
        <w:rPr>
          <w:noProof/>
        </w:rPr>
        <mc:AlternateContent>
          <mc:Choice Requires="wpg">
            <w:drawing>
              <wp:inline distT="0" distB="0" distL="0" distR="0" wp14:anchorId="319D7CF4" wp14:editId="01CF73C9">
                <wp:extent cx="5798185" cy="9144"/>
                <wp:effectExtent l="0" t="0" r="0" b="0"/>
                <wp:docPr id="20610" name="Group 20610"/>
                <wp:cNvGraphicFramePr/>
                <a:graphic xmlns:a="http://schemas.openxmlformats.org/drawingml/2006/main">
                  <a:graphicData uri="http://schemas.microsoft.com/office/word/2010/wordprocessingGroup">
                    <wpg:wgp>
                      <wpg:cNvGrpSpPr/>
                      <wpg:grpSpPr>
                        <a:xfrm>
                          <a:off x="0" y="0"/>
                          <a:ext cx="5798185" cy="9144"/>
                          <a:chOff x="0" y="0"/>
                          <a:chExt cx="5798185" cy="9144"/>
                        </a:xfrm>
                      </wpg:grpSpPr>
                      <wps:wsp>
                        <wps:cNvPr id="24495" name="Shape 2449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rto="http://schemas.microsoft.com/office/word/2006/arto">
            <w:pict>
              <v:group id="Group 20610" style="width:456.55pt;height:0.719971pt;mso-position-horizontal-relative:char;mso-position-vertical-relative:line" coordsize="57981,91">
                <v:shape id="Shape 24496" style="position:absolute;width:57981;height:91;left:0;top:0;" coordsize="5798185,9144" path="m0,0l5798185,0l5798185,9144l0,9144l0,0">
                  <v:stroke weight="0pt" endcap="flat" joinstyle="miter" miterlimit="10" on="false" color="#000000" opacity="0"/>
                  <v:fill on="true" color="#000000"/>
                </v:shape>
              </v:group>
            </w:pict>
          </mc:Fallback>
        </mc:AlternateContent>
      </w:r>
    </w:p>
    <w:p w14:paraId="3B652CCB" w14:textId="77777777" w:rsidR="006E1AC2" w:rsidRDefault="00651849">
      <w:pPr>
        <w:spacing w:after="0" w:line="259" w:lineRule="auto"/>
        <w:ind w:left="0" w:firstLine="0"/>
      </w:pPr>
      <w:r>
        <w:t xml:space="preserve"> </w:t>
      </w:r>
    </w:p>
    <w:p w14:paraId="33744901" w14:textId="2F80348B" w:rsidR="006E1AC2" w:rsidRDefault="00651849">
      <w:pPr>
        <w:ind w:left="-5"/>
      </w:pPr>
      <w:r>
        <w:t xml:space="preserve">Diese Mitteilung beschreibt wie </w:t>
      </w:r>
      <w:r w:rsidRPr="00854F90">
        <w:rPr>
          <w:highlight w:val="yellow"/>
        </w:rPr>
        <w:t>[</w:t>
      </w:r>
      <w:r w:rsidRPr="00854F90">
        <w:rPr>
          <w:i/>
          <w:highlight w:val="yellow"/>
        </w:rPr>
        <w:t>Firma, Anschrift des Verantwortlichen</w:t>
      </w:r>
      <w:r w:rsidRPr="00854F90">
        <w:rPr>
          <w:highlight w:val="yellow"/>
        </w:rPr>
        <w:t>]</w:t>
      </w:r>
      <w:r>
        <w:t xml:space="preserve"> Ihre personenbezogenen Daten verarbeiten (gemäß Art 13 Abs. 1 DSGVO) </w:t>
      </w:r>
    </w:p>
    <w:p w14:paraId="0F217C5D" w14:textId="77777777" w:rsidR="006E1AC2" w:rsidRDefault="00651849">
      <w:pPr>
        <w:spacing w:after="0" w:line="259" w:lineRule="auto"/>
        <w:ind w:left="0" w:firstLine="0"/>
      </w:pPr>
      <w:r>
        <w:t xml:space="preserve"> </w:t>
      </w:r>
    </w:p>
    <w:p w14:paraId="12ACBCD3" w14:textId="77777777" w:rsidR="006E1AC2" w:rsidRDefault="00651849">
      <w:pPr>
        <w:spacing w:after="3" w:line="259" w:lineRule="auto"/>
        <w:ind w:left="-5"/>
      </w:pPr>
      <w:r>
        <w:rPr>
          <w:b/>
        </w:rPr>
        <w:t xml:space="preserve">1. Zwecke der Datenverarbeitung </w:t>
      </w:r>
    </w:p>
    <w:p w14:paraId="07D4B79C" w14:textId="07CBEAB1" w:rsidR="006E1AC2" w:rsidRDefault="00651849">
      <w:pPr>
        <w:ind w:left="-5" w:right="1727"/>
      </w:pPr>
      <w:r>
        <w:t xml:space="preserve">Wir werden Ihre personenbezogenen Daten zu folgenden Zwecken verarbeiten: </w:t>
      </w:r>
      <w:r w:rsidR="00854F90">
        <w:br/>
      </w:r>
      <w:r>
        <w:t xml:space="preserve">a) </w:t>
      </w:r>
      <w:proofErr w:type="spellStart"/>
      <w:r>
        <w:t>Dauerparkerverwaltung</w:t>
      </w:r>
      <w:proofErr w:type="spellEnd"/>
      <w:r>
        <w:t xml:space="preserve"> </w:t>
      </w:r>
    </w:p>
    <w:p w14:paraId="06947DB1" w14:textId="77777777" w:rsidR="006E1AC2" w:rsidRDefault="00651849">
      <w:pPr>
        <w:numPr>
          <w:ilvl w:val="0"/>
          <w:numId w:val="5"/>
        </w:numPr>
        <w:ind w:hanging="233"/>
      </w:pPr>
      <w:r>
        <w:t xml:space="preserve">Tarifberechnung für registrierte Kurzparkkunden </w:t>
      </w:r>
    </w:p>
    <w:p w14:paraId="09A6B49D" w14:textId="77777777" w:rsidR="006E1AC2" w:rsidRDefault="00651849">
      <w:pPr>
        <w:numPr>
          <w:ilvl w:val="0"/>
          <w:numId w:val="5"/>
        </w:numPr>
        <w:ind w:hanging="233"/>
      </w:pPr>
      <w:r>
        <w:t xml:space="preserve">Kontrolle der Nutzungsbestimmungen (z.B. Parken über zwei Stellplätze) </w:t>
      </w:r>
    </w:p>
    <w:p w14:paraId="5B6B9F2F" w14:textId="77777777" w:rsidR="006E1AC2" w:rsidRDefault="00651849">
      <w:pPr>
        <w:numPr>
          <w:ilvl w:val="0"/>
          <w:numId w:val="5"/>
        </w:numPr>
        <w:ind w:hanging="233"/>
      </w:pPr>
      <w:r>
        <w:t xml:space="preserve">Kontrolle der rechtskonformen Verwendung (z.B. Überschreitung der Gratisparkzeit)  </w:t>
      </w:r>
    </w:p>
    <w:p w14:paraId="4AC6B819" w14:textId="77777777" w:rsidR="006E1AC2" w:rsidRDefault="00651849">
      <w:pPr>
        <w:numPr>
          <w:ilvl w:val="0"/>
          <w:numId w:val="5"/>
        </w:numPr>
        <w:ind w:hanging="233"/>
      </w:pPr>
      <w:r>
        <w:t xml:space="preserve">Schutz der Einrichtungen (z.B. Vandalismus) </w:t>
      </w:r>
    </w:p>
    <w:p w14:paraId="449171BF" w14:textId="77777777" w:rsidR="006E1AC2" w:rsidRDefault="00651849">
      <w:pPr>
        <w:numPr>
          <w:ilvl w:val="0"/>
          <w:numId w:val="5"/>
        </w:numPr>
        <w:ind w:hanging="233"/>
      </w:pPr>
      <w:r>
        <w:t xml:space="preserve">Verfolgung missbräuchlicher Verwendung (z.B. Ausfahrt ohne Bezahlung) </w:t>
      </w:r>
    </w:p>
    <w:p w14:paraId="1AC57DFC" w14:textId="77777777" w:rsidR="006E1AC2" w:rsidRDefault="00651849">
      <w:pPr>
        <w:spacing w:after="0" w:line="259" w:lineRule="auto"/>
        <w:ind w:left="0" w:firstLine="0"/>
      </w:pPr>
      <w:r>
        <w:t xml:space="preserve"> </w:t>
      </w:r>
    </w:p>
    <w:p w14:paraId="257EFEF8" w14:textId="77777777" w:rsidR="006E1AC2" w:rsidRDefault="00651849">
      <w:pPr>
        <w:spacing w:after="34"/>
        <w:ind w:left="-5"/>
      </w:pPr>
      <w:r>
        <w:t xml:space="preserve">Diese Daten erheben wir mittels: </w:t>
      </w:r>
    </w:p>
    <w:p w14:paraId="14084271" w14:textId="77777777" w:rsidR="006E1AC2" w:rsidRDefault="00651849">
      <w:pPr>
        <w:numPr>
          <w:ilvl w:val="1"/>
          <w:numId w:val="5"/>
        </w:numPr>
        <w:ind w:hanging="360"/>
      </w:pPr>
      <w:r>
        <w:t xml:space="preserve">der von Ihnen zur Verfügung gestellten Daten zur Vertragserstellung </w:t>
      </w:r>
    </w:p>
    <w:p w14:paraId="1BE9B46E" w14:textId="77777777" w:rsidR="006E1AC2" w:rsidRDefault="00651849">
      <w:pPr>
        <w:numPr>
          <w:ilvl w:val="1"/>
          <w:numId w:val="5"/>
        </w:numPr>
        <w:ind w:hanging="360"/>
      </w:pPr>
      <w:r>
        <w:t xml:space="preserve">Bildaufzeichnung, Auswertung der Kennzeichendaten </w:t>
      </w:r>
    </w:p>
    <w:p w14:paraId="6FBBAF75" w14:textId="77777777" w:rsidR="006E1AC2" w:rsidRDefault="00651849">
      <w:pPr>
        <w:spacing w:after="0" w:line="259" w:lineRule="auto"/>
        <w:ind w:left="0" w:firstLine="0"/>
      </w:pPr>
      <w:r>
        <w:t xml:space="preserve"> </w:t>
      </w:r>
    </w:p>
    <w:p w14:paraId="79E6A66E" w14:textId="77777777" w:rsidR="004973F4" w:rsidRDefault="004973F4" w:rsidP="004973F4">
      <w:pPr>
        <w:ind w:left="-5"/>
      </w:pPr>
      <w:r w:rsidRPr="006D3D0C">
        <w:t xml:space="preserve">Die Bereitstellung Ihrer personenbezogenen Daten ist freiwillig. </w:t>
      </w:r>
      <w:r>
        <w:t xml:space="preserve">Auf die Bildaufzeichnung und die Erfassung von Kennzeichendaten wird entsprechend der gesetzlichen Vorgaben hingewiesen. </w:t>
      </w:r>
    </w:p>
    <w:p w14:paraId="25C46124" w14:textId="36592223" w:rsidR="006E1AC2" w:rsidRDefault="00651849">
      <w:pPr>
        <w:spacing w:after="0" w:line="259" w:lineRule="auto"/>
        <w:ind w:left="0" w:firstLine="0"/>
      </w:pPr>
      <w:r>
        <w:t xml:space="preserve"> </w:t>
      </w:r>
    </w:p>
    <w:p w14:paraId="79CF72B3" w14:textId="77777777" w:rsidR="006E1AC2" w:rsidRDefault="00651849">
      <w:pPr>
        <w:numPr>
          <w:ilvl w:val="0"/>
          <w:numId w:val="6"/>
        </w:numPr>
        <w:spacing w:after="3" w:line="259" w:lineRule="auto"/>
        <w:ind w:hanging="223"/>
      </w:pPr>
      <w:r>
        <w:rPr>
          <w:b/>
        </w:rPr>
        <w:t xml:space="preserve">Rechtsgrundlagen der Verarbeitung </w:t>
      </w:r>
    </w:p>
    <w:p w14:paraId="267027F4" w14:textId="77777777" w:rsidR="006E1AC2" w:rsidRDefault="00651849">
      <w:pPr>
        <w:numPr>
          <w:ilvl w:val="1"/>
          <w:numId w:val="6"/>
        </w:numPr>
        <w:spacing w:after="38"/>
        <w:ind w:hanging="360"/>
      </w:pPr>
      <w:r>
        <w:t xml:space="preserve">Für die Abrechnung der Parkgebühren (sowohl beim Kurzparken als auch bei Dauerparkern) ist die Rechtsgrundlage „Vertragserfüllung“ (Art. 6 Abs. 1 </w:t>
      </w:r>
      <w:proofErr w:type="spellStart"/>
      <w:r>
        <w:t>lit</w:t>
      </w:r>
      <w:proofErr w:type="spellEnd"/>
      <w:r>
        <w:t xml:space="preserve">. b DSGVO) </w:t>
      </w:r>
    </w:p>
    <w:p w14:paraId="37B976E9" w14:textId="77777777" w:rsidR="006E1AC2" w:rsidRDefault="00651849">
      <w:pPr>
        <w:numPr>
          <w:ilvl w:val="1"/>
          <w:numId w:val="6"/>
        </w:numPr>
        <w:spacing w:after="38"/>
        <w:ind w:hanging="360"/>
      </w:pPr>
      <w:r>
        <w:t xml:space="preserve">Für die Kennzeichenerfassung bei Dauerparkern ist die Rechtsgrundlage Ihre Einwilligung (Art. 6 Abs. 1 </w:t>
      </w:r>
      <w:proofErr w:type="spellStart"/>
      <w:r>
        <w:t>lit</w:t>
      </w:r>
      <w:proofErr w:type="spellEnd"/>
      <w:r>
        <w:t xml:space="preserve">. a DSGVO) </w:t>
      </w:r>
    </w:p>
    <w:p w14:paraId="6113961E" w14:textId="7559268D" w:rsidR="006E1AC2" w:rsidRDefault="00651849">
      <w:pPr>
        <w:numPr>
          <w:ilvl w:val="1"/>
          <w:numId w:val="6"/>
        </w:numPr>
        <w:ind w:hanging="360"/>
      </w:pPr>
      <w:r>
        <w:t xml:space="preserve">Für die Kennzeichenerfassung bei Kurzparkern ist die Rechtsgrundlage das berechtigte Interesse des Verantwortlichen (Art. 6 Abs. 1 </w:t>
      </w:r>
      <w:proofErr w:type="spellStart"/>
      <w:r>
        <w:t>lit</w:t>
      </w:r>
      <w:proofErr w:type="spellEnd"/>
      <w:r>
        <w:t xml:space="preserve">. f DSGVO), welche darin bestehen, die oben </w:t>
      </w:r>
      <w:r w:rsidRPr="00BE0B10">
        <w:t>unter Punkt 1 (a bis f) genannten</w:t>
      </w:r>
      <w:r>
        <w:t xml:space="preserve"> Zwecke zu erreichen. Gegen diese </w:t>
      </w:r>
    </w:p>
    <w:p w14:paraId="4772F60F" w14:textId="77777777" w:rsidR="006E1AC2" w:rsidRDefault="00651849">
      <w:pPr>
        <w:spacing w:after="36"/>
        <w:ind w:left="1078"/>
      </w:pPr>
      <w:r>
        <w:t xml:space="preserve">Datenverarbeitung steht Ihnen ein Widerspruchsrecht nach Art. 21 Abs. 1 DSGVO zu, wenn bei Ihnen Gründe </w:t>
      </w:r>
      <w:proofErr w:type="gramStart"/>
      <w:r>
        <w:t>vorliegen</w:t>
      </w:r>
      <w:proofErr w:type="gramEnd"/>
      <w:r>
        <w:t xml:space="preserve"> die sich aus Ihrer besonderen Situation ergeben. </w:t>
      </w:r>
    </w:p>
    <w:p w14:paraId="20566C47" w14:textId="77777777" w:rsidR="006E1AC2" w:rsidRPr="00302BC7" w:rsidRDefault="00651849">
      <w:pPr>
        <w:numPr>
          <w:ilvl w:val="1"/>
          <w:numId w:val="6"/>
        </w:numPr>
        <w:ind w:hanging="360"/>
      </w:pPr>
      <w:r w:rsidRPr="00302BC7">
        <w:t xml:space="preserve">Für die Bildverarbeitung insbesondere des Einganges und des Zutrittsbereiches, der Ein- und Ausfahrtstore, der Kassen und Automaten, der Stiegenhäuser sowie der Parkdecks gemäß § 12 Abs. 3 Z 2 DSG. Die Bildaufzeichnungen werden nur im Anlassfall ausgewertet, wenn entweder das überwachte Objekt selbst (Garage) oder darin abgestellte Fahrzeuge Gegenstand einer Rechtsverletzung wurden. </w:t>
      </w:r>
    </w:p>
    <w:p w14:paraId="2E849691" w14:textId="77777777" w:rsidR="006E1AC2" w:rsidRDefault="00651849">
      <w:pPr>
        <w:spacing w:after="0" w:line="259" w:lineRule="auto"/>
        <w:ind w:left="0" w:firstLine="0"/>
      </w:pPr>
      <w:r>
        <w:t xml:space="preserve"> </w:t>
      </w:r>
    </w:p>
    <w:p w14:paraId="2F910A0D" w14:textId="77777777" w:rsidR="006E1AC2" w:rsidRDefault="00651849">
      <w:pPr>
        <w:numPr>
          <w:ilvl w:val="0"/>
          <w:numId w:val="6"/>
        </w:numPr>
        <w:spacing w:after="3" w:line="259" w:lineRule="auto"/>
        <w:ind w:hanging="223"/>
      </w:pPr>
      <w:r>
        <w:rPr>
          <w:b/>
        </w:rPr>
        <w:t xml:space="preserve">Übermittlung Ihrer personenbezogenen Daten </w:t>
      </w:r>
    </w:p>
    <w:p w14:paraId="6A3B523D" w14:textId="07E65A26" w:rsidR="006E1AC2" w:rsidRDefault="00651849">
      <w:pPr>
        <w:spacing w:after="38"/>
        <w:ind w:left="-5"/>
      </w:pPr>
      <w:r>
        <w:lastRenderedPageBreak/>
        <w:t xml:space="preserve">Zu den oben genannten Zwecken werden Ihre personenbezogenen Daten an folgende Empfänger - im Anlassfall - übermittelt: </w:t>
      </w:r>
    </w:p>
    <w:p w14:paraId="00CECCE0" w14:textId="77777777" w:rsidR="006E1AC2" w:rsidRPr="00BA7FCF" w:rsidRDefault="00651849">
      <w:pPr>
        <w:numPr>
          <w:ilvl w:val="1"/>
          <w:numId w:val="6"/>
        </w:numPr>
        <w:ind w:hanging="360"/>
      </w:pPr>
      <w:r w:rsidRPr="00BA7FCF">
        <w:t xml:space="preserve">Auftragsverarbeiter (z.B. Callcenter, Beschwerdemanagement) </w:t>
      </w:r>
    </w:p>
    <w:p w14:paraId="18965145" w14:textId="77777777" w:rsidR="006E1AC2" w:rsidRPr="00BA7FCF" w:rsidRDefault="00651849">
      <w:pPr>
        <w:numPr>
          <w:ilvl w:val="1"/>
          <w:numId w:val="6"/>
        </w:numPr>
        <w:ind w:hanging="360"/>
      </w:pPr>
      <w:r w:rsidRPr="00BA7FCF">
        <w:t xml:space="preserve">Abrechnungsplattformen (Tankkarten, Mobilitätskarten etc.) </w:t>
      </w:r>
    </w:p>
    <w:p w14:paraId="59B877C4" w14:textId="77777777" w:rsidR="006E1AC2" w:rsidRPr="00BA7FCF" w:rsidRDefault="00651849">
      <w:pPr>
        <w:numPr>
          <w:ilvl w:val="1"/>
          <w:numId w:val="6"/>
        </w:numPr>
        <w:ind w:hanging="360"/>
      </w:pPr>
      <w:r w:rsidRPr="00BA7FCF">
        <w:t xml:space="preserve">Versicherungen (z.B. bei Beschädigungen) </w:t>
      </w:r>
    </w:p>
    <w:p w14:paraId="14D78C49" w14:textId="77777777" w:rsidR="006E1AC2" w:rsidRPr="00BA7FCF" w:rsidRDefault="00651849">
      <w:pPr>
        <w:numPr>
          <w:ilvl w:val="1"/>
          <w:numId w:val="6"/>
        </w:numPr>
        <w:ind w:hanging="360"/>
      </w:pPr>
      <w:r w:rsidRPr="00BA7FCF">
        <w:t xml:space="preserve">Inkassobüro, Rechtsanwalt, Gerichte </w:t>
      </w:r>
    </w:p>
    <w:p w14:paraId="2C2D81DF" w14:textId="77777777" w:rsidR="006E1AC2" w:rsidRPr="00BA7FCF" w:rsidRDefault="00651849">
      <w:pPr>
        <w:numPr>
          <w:ilvl w:val="1"/>
          <w:numId w:val="6"/>
        </w:numPr>
        <w:ind w:hanging="360"/>
      </w:pPr>
      <w:r w:rsidRPr="00BA7FCF">
        <w:t xml:space="preserve">Behörden im Rahmen ihres Aufgabenbereiches </w:t>
      </w:r>
    </w:p>
    <w:p w14:paraId="68DC0813" w14:textId="77777777" w:rsidR="006E1AC2" w:rsidRPr="00BA7FCF" w:rsidRDefault="00651849">
      <w:pPr>
        <w:numPr>
          <w:ilvl w:val="1"/>
          <w:numId w:val="6"/>
        </w:numPr>
        <w:ind w:hanging="360"/>
      </w:pPr>
      <w:r w:rsidRPr="00BA7FCF">
        <w:t xml:space="preserve">Auftraggeber des Garagenbetreibers als Betriebsführer </w:t>
      </w:r>
    </w:p>
    <w:p w14:paraId="5C2EA65B" w14:textId="77777777" w:rsidR="006E1AC2" w:rsidRDefault="00651849">
      <w:pPr>
        <w:spacing w:after="0" w:line="259" w:lineRule="auto"/>
        <w:ind w:left="0" w:firstLine="0"/>
      </w:pPr>
      <w:r>
        <w:t xml:space="preserve"> </w:t>
      </w:r>
    </w:p>
    <w:p w14:paraId="04B0C8A7" w14:textId="77777777" w:rsidR="006E1AC2" w:rsidRDefault="00651849">
      <w:pPr>
        <w:numPr>
          <w:ilvl w:val="0"/>
          <w:numId w:val="6"/>
        </w:numPr>
        <w:spacing w:after="3" w:line="259" w:lineRule="auto"/>
        <w:ind w:hanging="223"/>
      </w:pPr>
      <w:r>
        <w:rPr>
          <w:b/>
        </w:rPr>
        <w:t xml:space="preserve">Speicherdauer </w:t>
      </w:r>
    </w:p>
    <w:p w14:paraId="0D0E6F1C" w14:textId="77777777" w:rsidR="006E1AC2" w:rsidRDefault="00651849">
      <w:pPr>
        <w:numPr>
          <w:ilvl w:val="0"/>
          <w:numId w:val="7"/>
        </w:numPr>
        <w:spacing w:after="3" w:line="259" w:lineRule="auto"/>
        <w:ind w:hanging="235"/>
      </w:pPr>
      <w:r>
        <w:rPr>
          <w:b/>
          <w:i/>
        </w:rPr>
        <w:t xml:space="preserve">Bei nicht registrierten Kunden: </w:t>
      </w:r>
    </w:p>
    <w:p w14:paraId="7DC940BD" w14:textId="479A4267" w:rsidR="006E1AC2" w:rsidRDefault="00651849">
      <w:pPr>
        <w:ind w:left="-5"/>
      </w:pPr>
      <w:r w:rsidRPr="006669C6">
        <w:t xml:space="preserve">Die </w:t>
      </w:r>
      <w:r w:rsidR="00E13275" w:rsidRPr="006669C6">
        <w:t>Anonymisierung</w:t>
      </w:r>
      <w:r w:rsidRPr="006669C6">
        <w:t xml:space="preserve"> des Bildes des Kennzeichens erfolgt bei normaler Parktransaktion in der Regel 24 Stunden nach der </w:t>
      </w:r>
      <w:r w:rsidR="008F0973">
        <w:t>letzten aufgezeichneten Aktion</w:t>
      </w:r>
      <w:r w:rsidR="008F0973">
        <w:rPr>
          <w:rStyle w:val="Funotenzeichen"/>
        </w:rPr>
        <w:footnoteReference w:id="2"/>
      </w:r>
      <w:r w:rsidR="00262E41" w:rsidRPr="006669C6">
        <w:t xml:space="preserve">. Bei abgeschlossenen Parkvorgängen mit offenen Kosten </w:t>
      </w:r>
      <w:r w:rsidR="00E13275" w:rsidRPr="006669C6">
        <w:t>erfolgt die Anonymisierung 2 Tage nach Mahnung. Diese Daten werden für die Abmahnung und bei Anfechtungen als Beweismittel benötigt.</w:t>
      </w:r>
      <w:r w:rsidR="00343050">
        <w:t xml:space="preserve"> </w:t>
      </w:r>
      <w:r w:rsidR="000C0F7E">
        <w:t xml:space="preserve">Nicht registrierte Kunden, welche innerhalb der Gratiszeit ausfahren oder </w:t>
      </w:r>
      <w:r w:rsidR="00947A7E">
        <w:t>bei der Einfahrt umdrehen werden nach 5 Minuten anonymisiert.</w:t>
      </w:r>
      <w:r w:rsidR="00E13275" w:rsidRPr="006669C6">
        <w:t xml:space="preserve"> </w:t>
      </w:r>
      <w:r w:rsidRPr="006669C6">
        <w:t>Die übrigen Daten werden nach Ablauf der steuerrechtlichen Aufbewahrungsfristen von sieben Jahren gelöscht.</w:t>
      </w:r>
      <w:r>
        <w:t xml:space="preserve"> </w:t>
      </w:r>
    </w:p>
    <w:p w14:paraId="2CC57C03" w14:textId="77777777" w:rsidR="006E1AC2" w:rsidRDefault="00651849">
      <w:pPr>
        <w:spacing w:after="0" w:line="259" w:lineRule="auto"/>
        <w:ind w:left="0" w:firstLine="0"/>
      </w:pPr>
      <w:r>
        <w:t xml:space="preserve"> </w:t>
      </w:r>
    </w:p>
    <w:p w14:paraId="2F33418D" w14:textId="77777777" w:rsidR="006E1AC2" w:rsidRDefault="00651849">
      <w:pPr>
        <w:numPr>
          <w:ilvl w:val="0"/>
          <w:numId w:val="7"/>
        </w:numPr>
        <w:spacing w:after="3" w:line="259" w:lineRule="auto"/>
        <w:ind w:hanging="235"/>
      </w:pPr>
      <w:r>
        <w:rPr>
          <w:b/>
          <w:i/>
        </w:rPr>
        <w:t xml:space="preserve">Bei registrierten Kunden: </w:t>
      </w:r>
    </w:p>
    <w:p w14:paraId="5C669C7B" w14:textId="77777777" w:rsidR="006E1AC2" w:rsidRDefault="00651849">
      <w:pPr>
        <w:ind w:left="-5"/>
      </w:pPr>
      <w:r>
        <w:t xml:space="preserve">Ihre personenbezogenen Daten werden von uns nur so lange aufbewahrt, wie dies zur Vertragserfüllung erforderlich ist, um die unter Punkt 1 genannten Zwecke zu erreichen:  </w:t>
      </w:r>
    </w:p>
    <w:p w14:paraId="678E07DA" w14:textId="77777777" w:rsidR="006E1AC2" w:rsidRDefault="00651849">
      <w:pPr>
        <w:spacing w:after="24" w:line="259" w:lineRule="auto"/>
        <w:ind w:left="0" w:firstLine="0"/>
      </w:pPr>
      <w:r>
        <w:t xml:space="preserve"> </w:t>
      </w:r>
    </w:p>
    <w:p w14:paraId="191C9047" w14:textId="6AD37A97" w:rsidR="00C73794" w:rsidRDefault="005F5CA7">
      <w:pPr>
        <w:numPr>
          <w:ilvl w:val="1"/>
          <w:numId w:val="7"/>
        </w:numPr>
        <w:ind w:hanging="360"/>
      </w:pPr>
      <w:r>
        <w:t xml:space="preserve">Parkvorgänge von registrierten Kunden, welche keine Kosten erzeugt haben: 12 Stunden nach </w:t>
      </w:r>
      <w:r w:rsidR="007956CF">
        <w:t>der letzten aufgezeichneten Aktion</w:t>
      </w:r>
      <w:r w:rsidR="00D010E9" w:rsidRPr="00E04C07">
        <w:rPr>
          <w:vertAlign w:val="superscript"/>
        </w:rPr>
        <w:t>1</w:t>
      </w:r>
      <w:r w:rsidR="008C501F">
        <w:t>.</w:t>
      </w:r>
    </w:p>
    <w:p w14:paraId="4ED028FC" w14:textId="67B83F01" w:rsidR="006E1AC2" w:rsidRDefault="00651849">
      <w:pPr>
        <w:numPr>
          <w:ilvl w:val="1"/>
          <w:numId w:val="7"/>
        </w:numPr>
        <w:ind w:hanging="360"/>
      </w:pPr>
      <w:r>
        <w:t>Bei der Abrechnung von Parkzeiten</w:t>
      </w:r>
      <w:r w:rsidR="00E77DB8">
        <w:t xml:space="preserve"> mit Zahlung auf Rechnung</w:t>
      </w:r>
      <w:r>
        <w:t xml:space="preserve">: </w:t>
      </w:r>
      <w:r w:rsidR="00D814B1">
        <w:t>12 Stunden nach Rechnungslegung (Monatsrechnung)</w:t>
      </w:r>
      <w:r>
        <w:t xml:space="preserve">. </w:t>
      </w:r>
    </w:p>
    <w:p w14:paraId="6C8C4F45" w14:textId="4E12F4C8" w:rsidR="00CF0BA6" w:rsidRDefault="00CF0BA6">
      <w:pPr>
        <w:numPr>
          <w:ilvl w:val="1"/>
          <w:numId w:val="7"/>
        </w:numPr>
        <w:ind w:hanging="360"/>
      </w:pPr>
      <w:r>
        <w:t>Abgeschlosse</w:t>
      </w:r>
      <w:r w:rsidR="00A04855">
        <w:t>ne Parkvorgänge mit offenen Kosten: 2 Tage nach Mahnung</w:t>
      </w:r>
      <w:r w:rsidR="008C501F">
        <w:t>.</w:t>
      </w:r>
    </w:p>
    <w:p w14:paraId="68568687" w14:textId="77777777" w:rsidR="006E1AC2" w:rsidRDefault="00651849">
      <w:pPr>
        <w:numPr>
          <w:ilvl w:val="1"/>
          <w:numId w:val="7"/>
        </w:numPr>
        <w:spacing w:after="38"/>
        <w:ind w:hanging="360"/>
      </w:pPr>
      <w:r>
        <w:t xml:space="preserve">Die übrigen Daten werden nach Ablauf der steuerrechtlichen Aufbewahrungsfristen von sieben Jahren gelöscht. </w:t>
      </w:r>
    </w:p>
    <w:p w14:paraId="5A73E74C" w14:textId="77777777" w:rsidR="006E1AC2" w:rsidRDefault="00651849">
      <w:pPr>
        <w:numPr>
          <w:ilvl w:val="1"/>
          <w:numId w:val="7"/>
        </w:numPr>
        <w:ind w:hanging="360"/>
      </w:pPr>
      <w:r>
        <w:t xml:space="preserve">Für Dauerparker gilt zusätzlich: Bei regulär abgeschlossenen Parktransaktionen: die letzten 30 Bewegungsdaten (Informationen über die Ein- und Ausfahrt, einschl. Bild des </w:t>
      </w:r>
      <w:proofErr w:type="gramStart"/>
      <w:r>
        <w:t>KFZ Kennzeichens</w:t>
      </w:r>
      <w:proofErr w:type="gramEnd"/>
      <w:r>
        <w:t xml:space="preserve">) zum Zwecke der Nachvollziehbarkeiten von Missbrauch und der Abrechnung von Parküberzeiten. </w:t>
      </w:r>
    </w:p>
    <w:p w14:paraId="2B7D2AEC" w14:textId="77777777" w:rsidR="006E1AC2" w:rsidRDefault="00651849">
      <w:pPr>
        <w:spacing w:after="0" w:line="259" w:lineRule="auto"/>
        <w:ind w:left="0" w:firstLine="0"/>
      </w:pPr>
      <w:r>
        <w:t xml:space="preserve"> </w:t>
      </w:r>
    </w:p>
    <w:p w14:paraId="7BE4712E" w14:textId="77777777" w:rsidR="006E1AC2" w:rsidRDefault="00651849">
      <w:pPr>
        <w:numPr>
          <w:ilvl w:val="0"/>
          <w:numId w:val="7"/>
        </w:numPr>
        <w:spacing w:after="3" w:line="259" w:lineRule="auto"/>
        <w:ind w:hanging="235"/>
      </w:pPr>
      <w:r>
        <w:rPr>
          <w:b/>
          <w:i/>
        </w:rPr>
        <w:t xml:space="preserve">Bildverarbeitung („Videoüberwachung“): </w:t>
      </w:r>
    </w:p>
    <w:p w14:paraId="05D6DC90" w14:textId="4482F1CC" w:rsidR="006E1AC2" w:rsidRDefault="00651849">
      <w:pPr>
        <w:ind w:left="-5"/>
      </w:pPr>
      <w:r>
        <w:t>Aufgezeichnete Daten sind, sofern sie nicht aus konkretem Anlass für die Verwirklichung der zu Grunde liegenden Schutz- oder Beweissicherungszwecke oder für Zwecke nach § 12 Abs 3 Z 2 DSG benötigt werden, spätestens nach 14 Tagen zu löschen</w:t>
      </w:r>
      <w:r w:rsidR="008C2A03">
        <w:t xml:space="preserve"> bzw. anonymisieren</w:t>
      </w:r>
      <w:r>
        <w:t xml:space="preserve">. Die Abweichung zur gesetzlichen Löschfrist des § 13 Abs 3 DSG wird zur Feststellung von Zahlungsausfällen von Kreditkartentransaktionen benötigt, da der Garagenbetreiber erst nach bis zu zwei Wochen erfährt, dass eine </w:t>
      </w:r>
    </w:p>
    <w:p w14:paraId="1ED834B1" w14:textId="77777777" w:rsidR="006E1AC2" w:rsidRDefault="00651849" w:rsidP="008C2A03">
      <w:pPr>
        <w:ind w:left="0" w:firstLine="0"/>
      </w:pPr>
      <w:r>
        <w:t xml:space="preserve">Kreditkartentransaktion von der Bank nicht durchgeführt worden ist. Ohne eine Speicherung für 14 Tage wäre eine Geltendmachung von Ansprüchen nicht mehr möglich. Die Verwendung der Aufzeichnungen für andere Zwecke ist nicht zulässig.  </w:t>
      </w:r>
    </w:p>
    <w:p w14:paraId="676A1C80" w14:textId="77777777" w:rsidR="006E1AC2" w:rsidRDefault="00651849">
      <w:pPr>
        <w:spacing w:after="0" w:line="259" w:lineRule="auto"/>
        <w:ind w:left="0" w:firstLine="0"/>
      </w:pPr>
      <w:r>
        <w:t xml:space="preserve"> </w:t>
      </w:r>
    </w:p>
    <w:p w14:paraId="6CD44F29" w14:textId="77777777" w:rsidR="006E1AC2" w:rsidRDefault="00651849">
      <w:pPr>
        <w:spacing w:after="3" w:line="259" w:lineRule="auto"/>
        <w:ind w:left="-5"/>
      </w:pPr>
      <w:r>
        <w:rPr>
          <w:b/>
        </w:rPr>
        <w:lastRenderedPageBreak/>
        <w:t xml:space="preserve">5. Ihre Rechte im Zusammenhang mit personenbezogenen Daten </w:t>
      </w:r>
    </w:p>
    <w:p w14:paraId="27EDD0FB" w14:textId="77777777" w:rsidR="006E1AC2" w:rsidRDefault="00651849">
      <w:pPr>
        <w:ind w:left="-5"/>
      </w:pPr>
      <w:r>
        <w:t xml:space="preserve">Ihnen stehen die Rechte auf Auskunft, Berichtigung, Löschung, Einschränkung, Datenübertragbarkeit und Widerspruch zu. Dafür wenden Sie sich an uns. </w:t>
      </w:r>
    </w:p>
    <w:p w14:paraId="6976F50A" w14:textId="77777777" w:rsidR="006E1AC2" w:rsidRDefault="00651849">
      <w:pPr>
        <w:spacing w:after="0" w:line="259" w:lineRule="auto"/>
        <w:ind w:left="0" w:firstLine="0"/>
      </w:pPr>
      <w:r>
        <w:t xml:space="preserve"> </w:t>
      </w:r>
    </w:p>
    <w:p w14:paraId="13A361E5" w14:textId="77777777" w:rsidR="006E1AC2" w:rsidRDefault="00651849">
      <w:pPr>
        <w:ind w:left="-5"/>
      </w:pPr>
      <w:r>
        <w:t xml:space="preserve">Wenn Sie glauben, dass die Verarbeitung Ihrer Daten gegen das Datenschutzrecht verstößt oder Ihre datenschutzrechtlichen Ansprüche sonst in einer Weise verletzt worden sind, können Sie sich bei der Datenschutzbehörde beschweren. </w:t>
      </w:r>
    </w:p>
    <w:p w14:paraId="7DEF38D2" w14:textId="77777777" w:rsidR="006E1AC2" w:rsidRDefault="00651849">
      <w:pPr>
        <w:spacing w:after="0" w:line="259" w:lineRule="auto"/>
        <w:ind w:left="0" w:firstLine="0"/>
      </w:pPr>
      <w:r>
        <w:t xml:space="preserve"> </w:t>
      </w:r>
    </w:p>
    <w:p w14:paraId="5D63DE0D" w14:textId="77777777" w:rsidR="006E1AC2" w:rsidRDefault="00651849">
      <w:pPr>
        <w:ind w:left="-5"/>
      </w:pPr>
      <w:r>
        <w:t xml:space="preserve">Sofern die Verarbeitung auf Ihrer Einwilligung beruht, können Sie diese jederzeit widerrufen. </w:t>
      </w:r>
    </w:p>
    <w:p w14:paraId="5B4A8C09" w14:textId="77777777" w:rsidR="006E1AC2" w:rsidRDefault="00651849">
      <w:pPr>
        <w:spacing w:after="0" w:line="259" w:lineRule="auto"/>
        <w:ind w:left="0" w:firstLine="0"/>
      </w:pPr>
      <w:r>
        <w:t xml:space="preserve"> </w:t>
      </w:r>
    </w:p>
    <w:p w14:paraId="55EB2403" w14:textId="77777777" w:rsidR="006E1AC2" w:rsidRDefault="00651849">
      <w:pPr>
        <w:ind w:left="-5"/>
      </w:pPr>
      <w:r>
        <w:t xml:space="preserve">Hinsichtlich der Bildverarbeitung gilt, dass betroffene Personen unbeschadet des Auskunftsrechtes gemäß Art. 15 DSGVO nicht berechtigt sind, vom Garagenbetreiber Lichtbilder zu erhalten, sofern dadurch die Rechte und Freiheiten anderer Personen beeinträchtigt werden. Stattdessen erhält die betroffene Person eine Beschreibung ihres Verhaltens. Der Garagenbetreiber ist aber berechtigt, Bildaufzeichnungen an die zuständige Behörde (etwa eine Sicherheitsbehörde im Rahmen eines durch Anzeige eingeleiteten Ermittlungsverfahrens) zu übermitteln, weil beim Garagenbetreiber der begründete Verdacht entstanden ist, die Daten könnten eine von Amts </w:t>
      </w:r>
      <w:proofErr w:type="gramStart"/>
      <w:r>
        <w:t>wegen zu verfolgende strafbare Handlung</w:t>
      </w:r>
      <w:proofErr w:type="gramEnd"/>
      <w:r>
        <w:t xml:space="preserve"> dokumentieren. Ein solcher Verdacht kann auch durch Hinweis eines Kunden entstehen. </w:t>
      </w:r>
    </w:p>
    <w:p w14:paraId="38D172C3" w14:textId="77777777" w:rsidR="006E1AC2" w:rsidRDefault="00651849">
      <w:pPr>
        <w:spacing w:after="0" w:line="259" w:lineRule="auto"/>
        <w:ind w:left="0" w:firstLine="0"/>
      </w:pPr>
      <w:r>
        <w:t xml:space="preserve"> </w:t>
      </w:r>
    </w:p>
    <w:p w14:paraId="562C7D5A" w14:textId="77777777" w:rsidR="006E1AC2" w:rsidRDefault="00651849">
      <w:pPr>
        <w:spacing w:after="3" w:line="259" w:lineRule="auto"/>
        <w:ind w:left="-5"/>
      </w:pPr>
      <w:r>
        <w:rPr>
          <w:b/>
        </w:rPr>
        <w:t xml:space="preserve">6. Unsere Kontaktdaten </w:t>
      </w:r>
    </w:p>
    <w:p w14:paraId="03D1CFB9" w14:textId="77777777" w:rsidR="006E1AC2" w:rsidRDefault="00651849">
      <w:pPr>
        <w:pStyle w:val="berschrift4"/>
        <w:ind w:left="-5"/>
      </w:pPr>
      <w:r>
        <w:rPr>
          <w:i w:val="0"/>
        </w:rPr>
        <w:t xml:space="preserve">Verantwortlicher: </w:t>
      </w:r>
      <w:r w:rsidRPr="00495C86">
        <w:rPr>
          <w:highlight w:val="yellow"/>
        </w:rPr>
        <w:t>Firma/Anschrift/</w:t>
      </w:r>
      <w:proofErr w:type="gramStart"/>
      <w:r w:rsidRPr="00495C86">
        <w:rPr>
          <w:highlight w:val="yellow"/>
        </w:rPr>
        <w:t>Email Adresse</w:t>
      </w:r>
      <w:proofErr w:type="gramEnd"/>
      <w:r>
        <w:rPr>
          <w:i w:val="0"/>
        </w:rPr>
        <w:t xml:space="preserve"> </w:t>
      </w:r>
    </w:p>
    <w:p w14:paraId="231AA082" w14:textId="77777777" w:rsidR="006E1AC2" w:rsidRDefault="00651849">
      <w:pPr>
        <w:ind w:left="-5"/>
      </w:pPr>
      <w:r>
        <w:t xml:space="preserve">Datenschutzbeauftragter (falls vorhanden): </w:t>
      </w:r>
      <w:r w:rsidRPr="00495C86">
        <w:rPr>
          <w:i/>
          <w:highlight w:val="yellow"/>
        </w:rPr>
        <w:t>Firma/Anschrift/</w:t>
      </w:r>
      <w:proofErr w:type="gramStart"/>
      <w:r w:rsidRPr="00495C86">
        <w:rPr>
          <w:i/>
          <w:highlight w:val="yellow"/>
        </w:rPr>
        <w:t>Email Adresse</w:t>
      </w:r>
      <w:proofErr w:type="gramEnd"/>
      <w:r>
        <w:t xml:space="preserve"> </w:t>
      </w:r>
    </w:p>
    <w:p w14:paraId="1E07DA04" w14:textId="77777777" w:rsidR="00AD545F" w:rsidRDefault="00AD545F">
      <w:pPr>
        <w:spacing w:after="0" w:line="259" w:lineRule="auto"/>
        <w:ind w:left="0" w:firstLine="0"/>
      </w:pPr>
    </w:p>
    <w:p w14:paraId="6AA9D226" w14:textId="288A5FC2" w:rsidR="00AD545F" w:rsidRDefault="00AD545F" w:rsidP="00AD545F">
      <w:pPr>
        <w:spacing w:after="0" w:line="259" w:lineRule="auto"/>
        <w:ind w:left="0" w:firstLine="0"/>
      </w:pPr>
      <w:r>
        <w:t xml:space="preserve">Wir behalten uns das Recht vor, diese Datenschutzerklärung aufgrund rechtlicher oder technischer Entwicklung jederzeit anzupassen. Es gilt die jeweils auf </w:t>
      </w:r>
      <w:hyperlink r:id="rId11" w:history="1">
        <w:r w:rsidRPr="003F18D3">
          <w:rPr>
            <w:rStyle w:val="Hyperlink"/>
            <w:highlight w:val="yellow"/>
          </w:rPr>
          <w:t>www.xyz.at</w:t>
        </w:r>
      </w:hyperlink>
      <w:hyperlink r:id="rId12" w:history="1">
        <w:r w:rsidR="00FB234A" w:rsidRPr="00CC4870">
          <w:rPr>
            <w:rStyle w:val="Hyperlink"/>
          </w:rPr>
          <w:t>(hier</w:t>
        </w:r>
      </w:hyperlink>
      <w:r w:rsidR="00FB234A">
        <w:rPr>
          <w:rStyle w:val="Hyperlink"/>
        </w:rPr>
        <w:t xml:space="preserve"> kann der Link zur </w:t>
      </w:r>
      <w:proofErr w:type="spellStart"/>
      <w:r w:rsidR="00FB234A">
        <w:rPr>
          <w:rStyle w:val="Hyperlink"/>
        </w:rPr>
        <w:t>öffenlichen</w:t>
      </w:r>
      <w:proofErr w:type="spellEnd"/>
      <w:r w:rsidR="00FB234A">
        <w:rPr>
          <w:rStyle w:val="Hyperlink"/>
        </w:rPr>
        <w:t xml:space="preserve"> Seite angegeben werden)</w:t>
      </w:r>
      <w:r>
        <w:t xml:space="preserve"> veröffentlichte Fassung. </w:t>
      </w:r>
    </w:p>
    <w:p w14:paraId="5869B74C" w14:textId="77777777" w:rsidR="00AD545F" w:rsidRDefault="00AD545F">
      <w:pPr>
        <w:spacing w:after="0" w:line="259" w:lineRule="auto"/>
        <w:ind w:left="0" w:firstLine="0"/>
      </w:pPr>
    </w:p>
    <w:p w14:paraId="4F8C6CD3" w14:textId="0DF057EC" w:rsidR="006E1AC2" w:rsidRDefault="00651849">
      <w:pPr>
        <w:spacing w:after="0" w:line="259" w:lineRule="auto"/>
        <w:ind w:left="0" w:firstLine="0"/>
      </w:pPr>
      <w:r>
        <w:t xml:space="preserve"> </w:t>
      </w:r>
    </w:p>
    <w:p w14:paraId="5937AD12" w14:textId="77777777" w:rsidR="006E1AC2" w:rsidRDefault="00651849">
      <w:pPr>
        <w:ind w:left="-5"/>
      </w:pPr>
      <w:r>
        <w:t xml:space="preserve">Zuletzt aktualisiert: </w:t>
      </w:r>
      <w:r>
        <w:rPr>
          <w:i/>
        </w:rPr>
        <w:t xml:space="preserve">Datum </w:t>
      </w:r>
    </w:p>
    <w:p w14:paraId="47F78440" w14:textId="77777777" w:rsidR="006E1AC2" w:rsidRDefault="00651849">
      <w:pPr>
        <w:spacing w:after="0" w:line="259" w:lineRule="auto"/>
        <w:ind w:left="0" w:firstLine="0"/>
      </w:pPr>
      <w:r>
        <w:rPr>
          <w:i/>
        </w:rPr>
        <w:t xml:space="preserve"> </w:t>
      </w:r>
    </w:p>
    <w:p w14:paraId="795AF608" w14:textId="77777777" w:rsidR="006E1AC2" w:rsidRDefault="00651849">
      <w:pPr>
        <w:spacing w:after="0" w:line="259" w:lineRule="auto"/>
        <w:ind w:left="0" w:firstLine="0"/>
      </w:pPr>
      <w:r>
        <w:t xml:space="preserve"> </w:t>
      </w:r>
    </w:p>
    <w:sectPr w:rsidR="006E1AC2">
      <w:footerReference w:type="even" r:id="rId13"/>
      <w:footerReference w:type="default" r:id="rId14"/>
      <w:footerReference w:type="first" r:id="rId15"/>
      <w:footnotePr>
        <w:numRestart w:val="eachPage"/>
      </w:footnotePr>
      <w:pgSz w:w="11906" w:h="16838"/>
      <w:pgMar w:top="1459" w:right="1418" w:bottom="1166" w:left="1416"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72FD" w14:textId="77777777" w:rsidR="00CD7E93" w:rsidRDefault="00CD7E93">
      <w:pPr>
        <w:spacing w:after="0" w:line="240" w:lineRule="auto"/>
      </w:pPr>
      <w:r>
        <w:separator/>
      </w:r>
    </w:p>
  </w:endnote>
  <w:endnote w:type="continuationSeparator" w:id="0">
    <w:p w14:paraId="44AB4780" w14:textId="77777777" w:rsidR="00CD7E93" w:rsidRDefault="00CD7E93">
      <w:pPr>
        <w:spacing w:after="0" w:line="240" w:lineRule="auto"/>
      </w:pPr>
      <w:r>
        <w:continuationSeparator/>
      </w:r>
    </w:p>
  </w:endnote>
  <w:endnote w:type="continuationNotice" w:id="1">
    <w:p w14:paraId="0B659E37" w14:textId="77777777" w:rsidR="00CD7E93" w:rsidRDefault="00CD7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88A4" w14:textId="77777777" w:rsidR="006E1AC2" w:rsidRDefault="00651849">
    <w:pPr>
      <w:spacing w:after="0" w:line="259" w:lineRule="auto"/>
      <w:ind w:left="0" w:right="259" w:firstLine="0"/>
      <w:jc w:val="right"/>
    </w:pPr>
    <w:r>
      <w:fldChar w:fldCharType="begin"/>
    </w:r>
    <w:r>
      <w:instrText xml:space="preserve"> PAGE   \* MERGEFORMAT </w:instrText>
    </w:r>
    <w:r>
      <w:fldChar w:fldCharType="separate"/>
    </w:r>
    <w:r>
      <w:rPr>
        <w:rFonts w:ascii="Arial" w:eastAsia="Arial" w:hAnsi="Arial" w:cs="Arial"/>
        <w:color w:val="808080"/>
        <w:sz w:val="20"/>
      </w:rPr>
      <w:t>1</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Pr>
          <w:rFonts w:ascii="Arial" w:eastAsia="Arial" w:hAnsi="Arial" w:cs="Arial"/>
          <w:color w:val="808080"/>
          <w:sz w:val="20"/>
        </w:rPr>
        <w:t>16</w:t>
      </w:r>
    </w:fldSimple>
    <w:r>
      <w:rPr>
        <w:rFonts w:ascii="Arial" w:eastAsia="Arial" w:hAnsi="Arial" w:cs="Arial"/>
        <w:color w:val="808080"/>
        <w:sz w:val="20"/>
      </w:rPr>
      <w:t xml:space="preserve"> </w:t>
    </w:r>
  </w:p>
  <w:p w14:paraId="4F49CCF3" w14:textId="77777777" w:rsidR="006E1AC2" w:rsidRDefault="00651849">
    <w:pPr>
      <w:spacing w:after="0" w:line="259" w:lineRule="auto"/>
      <w:ind w:left="0" w:right="202" w:firstLine="0"/>
      <w:jc w:val="right"/>
    </w:pPr>
    <w:r>
      <w:rPr>
        <w:rFonts w:ascii="Arial" w:eastAsia="Arial" w:hAnsi="Arial" w:cs="Arial"/>
        <w:color w:val="80808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5F3E" w14:textId="77777777" w:rsidR="006E1AC2" w:rsidRDefault="00651849">
    <w:pPr>
      <w:spacing w:after="0" w:line="259" w:lineRule="auto"/>
      <w:ind w:left="0" w:right="259" w:firstLine="0"/>
      <w:jc w:val="right"/>
    </w:pPr>
    <w:r>
      <w:fldChar w:fldCharType="begin"/>
    </w:r>
    <w:r>
      <w:instrText xml:space="preserve"> PAGE   \* MERGEFORMAT </w:instrText>
    </w:r>
    <w:r>
      <w:fldChar w:fldCharType="separate"/>
    </w:r>
    <w:r>
      <w:rPr>
        <w:rFonts w:ascii="Arial" w:eastAsia="Arial" w:hAnsi="Arial" w:cs="Arial"/>
        <w:color w:val="808080"/>
        <w:sz w:val="20"/>
      </w:rPr>
      <w:t>1</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Pr>
          <w:rFonts w:ascii="Arial" w:eastAsia="Arial" w:hAnsi="Arial" w:cs="Arial"/>
          <w:color w:val="808080"/>
          <w:sz w:val="20"/>
        </w:rPr>
        <w:t>16</w:t>
      </w:r>
    </w:fldSimple>
    <w:r>
      <w:rPr>
        <w:rFonts w:ascii="Arial" w:eastAsia="Arial" w:hAnsi="Arial" w:cs="Arial"/>
        <w:color w:val="808080"/>
        <w:sz w:val="20"/>
      </w:rPr>
      <w:t xml:space="preserve"> </w:t>
    </w:r>
  </w:p>
  <w:p w14:paraId="07DB97C8" w14:textId="77777777" w:rsidR="006E1AC2" w:rsidRDefault="00651849">
    <w:pPr>
      <w:spacing w:after="0" w:line="259" w:lineRule="auto"/>
      <w:ind w:left="0" w:right="202" w:firstLine="0"/>
      <w:jc w:val="right"/>
    </w:pPr>
    <w:r>
      <w:rPr>
        <w:rFonts w:ascii="Arial" w:eastAsia="Arial" w:hAnsi="Arial" w:cs="Arial"/>
        <w:color w:val="80808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94A3" w14:textId="77777777" w:rsidR="006E1AC2" w:rsidRDefault="00651849">
    <w:pPr>
      <w:spacing w:after="0" w:line="259" w:lineRule="auto"/>
      <w:ind w:left="0" w:right="259" w:firstLine="0"/>
      <w:jc w:val="right"/>
    </w:pPr>
    <w:r>
      <w:fldChar w:fldCharType="begin"/>
    </w:r>
    <w:r>
      <w:instrText xml:space="preserve"> PAGE   \* MERGEFORMAT </w:instrText>
    </w:r>
    <w:r>
      <w:fldChar w:fldCharType="separate"/>
    </w:r>
    <w:r>
      <w:rPr>
        <w:rFonts w:ascii="Arial" w:eastAsia="Arial" w:hAnsi="Arial" w:cs="Arial"/>
        <w:color w:val="808080"/>
        <w:sz w:val="20"/>
      </w:rPr>
      <w:t>1</w:t>
    </w:r>
    <w:r>
      <w:rPr>
        <w:rFonts w:ascii="Arial" w:eastAsia="Arial" w:hAnsi="Arial" w:cs="Arial"/>
        <w:color w:val="808080"/>
        <w:sz w:val="20"/>
      </w:rPr>
      <w:fldChar w:fldCharType="end"/>
    </w:r>
    <w:r>
      <w:rPr>
        <w:rFonts w:ascii="Arial" w:eastAsia="Arial" w:hAnsi="Arial" w:cs="Arial"/>
        <w:color w:val="808080"/>
        <w:sz w:val="20"/>
      </w:rPr>
      <w:t xml:space="preserve"> / </w:t>
    </w:r>
    <w:fldSimple w:instr=" NUMPAGES   \* MERGEFORMAT ">
      <w:r>
        <w:rPr>
          <w:rFonts w:ascii="Arial" w:eastAsia="Arial" w:hAnsi="Arial" w:cs="Arial"/>
          <w:color w:val="808080"/>
          <w:sz w:val="20"/>
        </w:rPr>
        <w:t>16</w:t>
      </w:r>
    </w:fldSimple>
    <w:r>
      <w:rPr>
        <w:rFonts w:ascii="Arial" w:eastAsia="Arial" w:hAnsi="Arial" w:cs="Arial"/>
        <w:color w:val="808080"/>
        <w:sz w:val="20"/>
      </w:rPr>
      <w:t xml:space="preserve"> </w:t>
    </w:r>
  </w:p>
  <w:p w14:paraId="37DDFE3E" w14:textId="77777777" w:rsidR="006E1AC2" w:rsidRDefault="00651849">
    <w:pPr>
      <w:spacing w:after="0" w:line="259" w:lineRule="auto"/>
      <w:ind w:left="0" w:right="202" w:firstLine="0"/>
      <w:jc w:val="right"/>
    </w:pPr>
    <w:r>
      <w:rPr>
        <w:rFonts w:ascii="Arial" w:eastAsia="Arial" w:hAnsi="Arial" w:cs="Arial"/>
        <w:color w:val="8080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E5441" w14:textId="77777777" w:rsidR="00CD7E93" w:rsidRDefault="00CD7E93">
      <w:pPr>
        <w:spacing w:after="0" w:line="251" w:lineRule="auto"/>
        <w:ind w:left="0" w:firstLine="0"/>
        <w:jc w:val="both"/>
      </w:pPr>
      <w:r>
        <w:separator/>
      </w:r>
    </w:p>
  </w:footnote>
  <w:footnote w:type="continuationSeparator" w:id="0">
    <w:p w14:paraId="58FBE08E" w14:textId="77777777" w:rsidR="00CD7E93" w:rsidRDefault="00CD7E93">
      <w:pPr>
        <w:spacing w:after="0" w:line="251" w:lineRule="auto"/>
        <w:ind w:left="0" w:firstLine="0"/>
        <w:jc w:val="both"/>
      </w:pPr>
      <w:r>
        <w:continuationSeparator/>
      </w:r>
    </w:p>
  </w:footnote>
  <w:footnote w:type="continuationNotice" w:id="1">
    <w:p w14:paraId="7D8B563A" w14:textId="77777777" w:rsidR="00CD7E93" w:rsidRDefault="00CD7E93">
      <w:pPr>
        <w:spacing w:after="0" w:line="240" w:lineRule="auto"/>
      </w:pPr>
    </w:p>
  </w:footnote>
  <w:footnote w:id="2">
    <w:p w14:paraId="03F23FAA" w14:textId="05ED98A6" w:rsidR="008F0973" w:rsidRPr="00BF22A9" w:rsidRDefault="008F0973">
      <w:pPr>
        <w:pStyle w:val="Funotentext"/>
        <w:rPr>
          <w:lang w:val="de-AT"/>
        </w:rPr>
      </w:pPr>
      <w:r>
        <w:rPr>
          <w:rStyle w:val="Funotenzeichen"/>
        </w:rPr>
        <w:footnoteRef/>
      </w:r>
      <w:r>
        <w:t xml:space="preserve"> </w:t>
      </w:r>
      <w:r w:rsidR="00BF22A9" w:rsidRPr="00BF22A9">
        <w:rPr>
          <w:lang w:val="de-AT"/>
        </w:rPr>
        <w:t>Nach der Einfahrt, wenn keine A</w:t>
      </w:r>
      <w:r w:rsidR="00BF22A9">
        <w:rPr>
          <w:lang w:val="de-AT"/>
        </w:rPr>
        <w:t>usfahrt vermerkt ist; nach der Ausfahrt; nach der Zahlung der offen</w:t>
      </w:r>
      <w:r w:rsidR="00E74545">
        <w:rPr>
          <w:lang w:val="de-AT"/>
        </w:rPr>
        <w:t>er Parkgebühren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BDF"/>
    <w:multiLevelType w:val="hybridMultilevel"/>
    <w:tmpl w:val="C5E0CEE8"/>
    <w:lvl w:ilvl="0" w:tplc="53D2F576">
      <w:start w:val="2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64873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24896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7838D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7A67C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981A3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24E0F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664A3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1CD78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F6837"/>
    <w:multiLevelType w:val="hybridMultilevel"/>
    <w:tmpl w:val="926E1848"/>
    <w:lvl w:ilvl="0" w:tplc="FA9CE33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F4DA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AC251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9A8E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3683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50E5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42AD8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EF0A9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DC40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A32B10"/>
    <w:multiLevelType w:val="hybridMultilevel"/>
    <w:tmpl w:val="6BE4872A"/>
    <w:lvl w:ilvl="0" w:tplc="DAB4E10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EA82D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40D46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3E47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2A9F3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08C92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8697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7641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DE33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6C1AE8"/>
    <w:multiLevelType w:val="hybridMultilevel"/>
    <w:tmpl w:val="DF16D69E"/>
    <w:lvl w:ilvl="0" w:tplc="F2844A36">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7EA674">
      <w:start w:val="1"/>
      <w:numFmt w:val="lowerLetter"/>
      <w:lvlText w:val="%2"/>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BA0E64">
      <w:start w:val="1"/>
      <w:numFmt w:val="lowerRoman"/>
      <w:lvlText w:val="%3"/>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807762">
      <w:start w:val="1"/>
      <w:numFmt w:val="decimal"/>
      <w:lvlText w:val="%4"/>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E5ECC">
      <w:start w:val="1"/>
      <w:numFmt w:val="lowerLetter"/>
      <w:lvlText w:val="%5"/>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96EA80">
      <w:start w:val="1"/>
      <w:numFmt w:val="lowerRoman"/>
      <w:lvlText w:val="%6"/>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52B8BC">
      <w:start w:val="1"/>
      <w:numFmt w:val="decimal"/>
      <w:lvlText w:val="%7"/>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7341E2C">
      <w:start w:val="1"/>
      <w:numFmt w:val="lowerLetter"/>
      <w:lvlText w:val="%8"/>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6A4B84">
      <w:start w:val="1"/>
      <w:numFmt w:val="lowerRoman"/>
      <w:lvlText w:val="%9"/>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0D2C34"/>
    <w:multiLevelType w:val="hybridMultilevel"/>
    <w:tmpl w:val="E5661330"/>
    <w:lvl w:ilvl="0" w:tplc="9A7E78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A39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FC75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9CFC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6A3B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7644A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48D6E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279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0608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5A403E"/>
    <w:multiLevelType w:val="hybridMultilevel"/>
    <w:tmpl w:val="9E6280DE"/>
    <w:lvl w:ilvl="0" w:tplc="2402ACD0">
      <w:start w:val="1"/>
      <w:numFmt w:val="lowerLetter"/>
      <w:lvlText w:val="%1)"/>
      <w:lvlJc w:val="left"/>
      <w:pPr>
        <w:ind w:left="235"/>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1820C1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8206F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658B1F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D2C30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982660">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7260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449B0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B201E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9B5AA9"/>
    <w:multiLevelType w:val="hybridMultilevel"/>
    <w:tmpl w:val="808E6C00"/>
    <w:lvl w:ilvl="0" w:tplc="AB489DA8">
      <w:start w:val="2"/>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926E90">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9AB2D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62074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A09B0">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CFC1C04">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9EEA1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AE8466">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6B63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085F96"/>
    <w:multiLevelType w:val="hybridMultilevel"/>
    <w:tmpl w:val="A0C04DE6"/>
    <w:lvl w:ilvl="0" w:tplc="F05EEDAE">
      <w:start w:val="2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185D5E">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EA3668">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94400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AA1A9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18F9A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92DD6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AC243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D6BC1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BC6606"/>
    <w:multiLevelType w:val="hybridMultilevel"/>
    <w:tmpl w:val="A16C32A4"/>
    <w:lvl w:ilvl="0" w:tplc="0C60F8EA">
      <w:start w:val="2"/>
      <w:numFmt w:val="decimal"/>
      <w:lvlText w:val="%1."/>
      <w:lvlJc w:val="left"/>
      <w:pPr>
        <w:ind w:left="2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80E0D0">
      <w:start w:val="1"/>
      <w:numFmt w:val="bullet"/>
      <w:lvlText w:val="•"/>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5EAD0A">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2CD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059B4">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817C2">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E80E83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0794E">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7E7CD4">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4BA59FD"/>
    <w:multiLevelType w:val="hybridMultilevel"/>
    <w:tmpl w:val="2848AE40"/>
    <w:lvl w:ilvl="0" w:tplc="4914F62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2C95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90CA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1E08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6F7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4A13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F265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20A0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D6D6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63F3032"/>
    <w:multiLevelType w:val="hybridMultilevel"/>
    <w:tmpl w:val="774C0FB2"/>
    <w:lvl w:ilvl="0" w:tplc="5C520E78">
      <w:start w:val="3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B662A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8EE18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E4EF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FC87B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12F8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A8F8D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9E481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AEA8A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B454DD7"/>
    <w:multiLevelType w:val="hybridMultilevel"/>
    <w:tmpl w:val="E676C836"/>
    <w:lvl w:ilvl="0" w:tplc="774C03C2">
      <w:start w:val="4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828A8E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3E994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0C2A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ECEDE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82B0F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7CFB9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F6EB66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94B29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17B2552"/>
    <w:multiLevelType w:val="hybridMultilevel"/>
    <w:tmpl w:val="D41814AE"/>
    <w:lvl w:ilvl="0" w:tplc="DE6EE00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B0B9A6">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6804B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D24B5C">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0CEB72">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A60A3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009010">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34AC7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96B416">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4A215BF"/>
    <w:multiLevelType w:val="multilevel"/>
    <w:tmpl w:val="FD2620CA"/>
    <w:lvl w:ilvl="0">
      <w:start w:val="1"/>
      <w:numFmt w:val="decimal"/>
      <w:pStyle w:val="berschrift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start w:val="1"/>
      <w:numFmt w:val="decimal"/>
      <w:pStyle w:val="berschrift2"/>
      <w:lvlText w:val="%1.%2."/>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844749B"/>
    <w:multiLevelType w:val="hybridMultilevel"/>
    <w:tmpl w:val="56542D1C"/>
    <w:lvl w:ilvl="0" w:tplc="0614A068">
      <w:start w:val="1"/>
      <w:numFmt w:val="decimal"/>
      <w:lvlText w:val="%1."/>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702F0A">
      <w:start w:val="1"/>
      <w:numFmt w:val="lowerLetter"/>
      <w:lvlText w:val="%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2ED4A2">
      <w:start w:val="1"/>
      <w:numFmt w:val="lowerRoman"/>
      <w:lvlText w:val="%3"/>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F0CBA6">
      <w:start w:val="1"/>
      <w:numFmt w:val="decimal"/>
      <w:lvlText w:val="%4"/>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2C63E2">
      <w:start w:val="1"/>
      <w:numFmt w:val="lowerLetter"/>
      <w:lvlText w:val="%5"/>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5602BC">
      <w:start w:val="1"/>
      <w:numFmt w:val="lowerRoman"/>
      <w:lvlText w:val="%6"/>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A2B15A">
      <w:start w:val="1"/>
      <w:numFmt w:val="decimal"/>
      <w:lvlText w:val="%7"/>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A9E2E68">
      <w:start w:val="1"/>
      <w:numFmt w:val="lowerLetter"/>
      <w:lvlText w:val="%8"/>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C67CD0">
      <w:start w:val="1"/>
      <w:numFmt w:val="lowerRoman"/>
      <w:lvlText w:val="%9"/>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D825B2D"/>
    <w:multiLevelType w:val="hybridMultilevel"/>
    <w:tmpl w:val="391A160E"/>
    <w:lvl w:ilvl="0" w:tplc="89760626">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50E53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86E53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8070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7CB5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36F68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148FE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3FE324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3446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AC065E"/>
    <w:multiLevelType w:val="hybridMultilevel"/>
    <w:tmpl w:val="09289DF6"/>
    <w:lvl w:ilvl="0" w:tplc="55BA48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B6D2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84F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6506E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CD427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4DC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6E4C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7870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8E03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6C6683C"/>
    <w:multiLevelType w:val="hybridMultilevel"/>
    <w:tmpl w:val="2ECCB3B6"/>
    <w:lvl w:ilvl="0" w:tplc="ED709CB0">
      <w:start w:val="38"/>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3AD2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329D7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12AA1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84F20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FE6B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D4A93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47A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0287B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C704D4"/>
    <w:multiLevelType w:val="hybridMultilevel"/>
    <w:tmpl w:val="D4B80E92"/>
    <w:lvl w:ilvl="0" w:tplc="5D920964">
      <w:start w:val="10"/>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30B408">
      <w:start w:val="1"/>
      <w:numFmt w:val="lowerLetter"/>
      <w:lvlText w:val="%2."/>
      <w:lvlJc w:val="left"/>
      <w:pPr>
        <w:ind w:left="1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A6A74E0">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67646">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6483FC">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2ED268">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8A627A">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720186">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00ADAA">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770394751">
    <w:abstractNumId w:val="14"/>
  </w:num>
  <w:num w:numId="2" w16cid:durableId="1468890647">
    <w:abstractNumId w:val="12"/>
  </w:num>
  <w:num w:numId="3" w16cid:durableId="1520119592">
    <w:abstractNumId w:val="4"/>
  </w:num>
  <w:num w:numId="4" w16cid:durableId="1865702563">
    <w:abstractNumId w:val="3"/>
  </w:num>
  <w:num w:numId="5" w16cid:durableId="1900087590">
    <w:abstractNumId w:val="6"/>
  </w:num>
  <w:num w:numId="6" w16cid:durableId="111291105">
    <w:abstractNumId w:val="8"/>
  </w:num>
  <w:num w:numId="7" w16cid:durableId="662319828">
    <w:abstractNumId w:val="5"/>
  </w:num>
  <w:num w:numId="8" w16cid:durableId="1303853626">
    <w:abstractNumId w:val="2"/>
  </w:num>
  <w:num w:numId="9" w16cid:durableId="730352578">
    <w:abstractNumId w:val="15"/>
  </w:num>
  <w:num w:numId="10" w16cid:durableId="1375734561">
    <w:abstractNumId w:val="18"/>
  </w:num>
  <w:num w:numId="11" w16cid:durableId="1434399979">
    <w:abstractNumId w:val="0"/>
  </w:num>
  <w:num w:numId="12" w16cid:durableId="951517344">
    <w:abstractNumId w:val="7"/>
  </w:num>
  <w:num w:numId="13" w16cid:durableId="1059864883">
    <w:abstractNumId w:val="10"/>
  </w:num>
  <w:num w:numId="14" w16cid:durableId="1839539407">
    <w:abstractNumId w:val="17"/>
  </w:num>
  <w:num w:numId="15" w16cid:durableId="1932200038">
    <w:abstractNumId w:val="11"/>
  </w:num>
  <w:num w:numId="16" w16cid:durableId="554000847">
    <w:abstractNumId w:val="9"/>
  </w:num>
  <w:num w:numId="17" w16cid:durableId="1943799301">
    <w:abstractNumId w:val="16"/>
  </w:num>
  <w:num w:numId="18" w16cid:durableId="1492868807">
    <w:abstractNumId w:val="1"/>
  </w:num>
  <w:num w:numId="19" w16cid:durableId="9305031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C2"/>
    <w:rsid w:val="000C0F7E"/>
    <w:rsid w:val="0016685F"/>
    <w:rsid w:val="001A4AF4"/>
    <w:rsid w:val="001E6C58"/>
    <w:rsid w:val="00235BAD"/>
    <w:rsid w:val="00262E41"/>
    <w:rsid w:val="00282F4B"/>
    <w:rsid w:val="00302BC7"/>
    <w:rsid w:val="00343050"/>
    <w:rsid w:val="00356391"/>
    <w:rsid w:val="00495C86"/>
    <w:rsid w:val="004973F4"/>
    <w:rsid w:val="005F5CA7"/>
    <w:rsid w:val="00626463"/>
    <w:rsid w:val="00651849"/>
    <w:rsid w:val="00664AEF"/>
    <w:rsid w:val="006669C6"/>
    <w:rsid w:val="006E1AC2"/>
    <w:rsid w:val="006E608A"/>
    <w:rsid w:val="00704BBC"/>
    <w:rsid w:val="007956CF"/>
    <w:rsid w:val="007C3174"/>
    <w:rsid w:val="00854F90"/>
    <w:rsid w:val="00871828"/>
    <w:rsid w:val="008C2A03"/>
    <w:rsid w:val="008C501F"/>
    <w:rsid w:val="008D0D28"/>
    <w:rsid w:val="008D6237"/>
    <w:rsid w:val="008F0973"/>
    <w:rsid w:val="00945BAA"/>
    <w:rsid w:val="00947A7E"/>
    <w:rsid w:val="009B4135"/>
    <w:rsid w:val="00A0440A"/>
    <w:rsid w:val="00A04855"/>
    <w:rsid w:val="00AA0631"/>
    <w:rsid w:val="00AD545F"/>
    <w:rsid w:val="00B24043"/>
    <w:rsid w:val="00B542F3"/>
    <w:rsid w:val="00BA7FCF"/>
    <w:rsid w:val="00BC360F"/>
    <w:rsid w:val="00BE0B10"/>
    <w:rsid w:val="00BF22A9"/>
    <w:rsid w:val="00C73794"/>
    <w:rsid w:val="00CD06A8"/>
    <w:rsid w:val="00CD7E93"/>
    <w:rsid w:val="00CF0BA6"/>
    <w:rsid w:val="00D010E9"/>
    <w:rsid w:val="00D318A3"/>
    <w:rsid w:val="00D814B1"/>
    <w:rsid w:val="00D8361D"/>
    <w:rsid w:val="00E04C07"/>
    <w:rsid w:val="00E13275"/>
    <w:rsid w:val="00E41591"/>
    <w:rsid w:val="00E74545"/>
    <w:rsid w:val="00E77DB8"/>
    <w:rsid w:val="00EE09E2"/>
    <w:rsid w:val="00FB23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06BF7"/>
  <w15:docId w15:val="{3C9CBA6A-8F82-4415-A413-524F9C6D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1" w:line="248" w:lineRule="auto"/>
      <w:ind w:left="10" w:hanging="10"/>
    </w:pPr>
    <w:rPr>
      <w:rFonts w:ascii="Calibri" w:eastAsia="Calibri" w:hAnsi="Calibri" w:cs="Calibri"/>
      <w:color w:val="000000"/>
    </w:rPr>
  </w:style>
  <w:style w:type="paragraph" w:styleId="berschrift1">
    <w:name w:val="heading 1"/>
    <w:next w:val="Standard"/>
    <w:link w:val="berschrift1Zchn"/>
    <w:uiPriority w:val="9"/>
    <w:qFormat/>
    <w:pPr>
      <w:keepNext/>
      <w:keepLines/>
      <w:numPr>
        <w:numId w:val="19"/>
      </w:numPr>
      <w:spacing w:after="0"/>
      <w:ind w:left="10" w:hanging="10"/>
      <w:outlineLvl w:val="0"/>
    </w:pPr>
    <w:rPr>
      <w:rFonts w:ascii="Calibri" w:eastAsia="Calibri" w:hAnsi="Calibri" w:cs="Calibri"/>
      <w:color w:val="000000"/>
      <w:sz w:val="32"/>
    </w:rPr>
  </w:style>
  <w:style w:type="paragraph" w:styleId="berschrift2">
    <w:name w:val="heading 2"/>
    <w:next w:val="Standard"/>
    <w:link w:val="berschrift2Zchn"/>
    <w:uiPriority w:val="9"/>
    <w:unhideWhenUsed/>
    <w:qFormat/>
    <w:pPr>
      <w:keepNext/>
      <w:keepLines/>
      <w:numPr>
        <w:ilvl w:val="1"/>
        <w:numId w:val="19"/>
      </w:numPr>
      <w:spacing w:after="12" w:line="249" w:lineRule="auto"/>
      <w:ind w:left="10" w:hanging="10"/>
      <w:outlineLvl w:val="1"/>
    </w:pPr>
    <w:rPr>
      <w:rFonts w:ascii="Calibri" w:eastAsia="Calibri" w:hAnsi="Calibri" w:cs="Calibri"/>
      <w:color w:val="000000"/>
      <w:sz w:val="28"/>
    </w:rPr>
  </w:style>
  <w:style w:type="paragraph" w:styleId="berschrift3">
    <w:name w:val="heading 3"/>
    <w:next w:val="Standard"/>
    <w:link w:val="berschrift3Zchn"/>
    <w:uiPriority w:val="9"/>
    <w:unhideWhenUsed/>
    <w:qFormat/>
    <w:pPr>
      <w:keepNext/>
      <w:keepLines/>
      <w:spacing w:after="12" w:line="249" w:lineRule="auto"/>
      <w:ind w:left="10" w:hanging="10"/>
      <w:outlineLvl w:val="2"/>
    </w:pPr>
    <w:rPr>
      <w:rFonts w:ascii="Calibri" w:eastAsia="Calibri" w:hAnsi="Calibri" w:cs="Calibri"/>
      <w:color w:val="000000"/>
      <w:sz w:val="28"/>
    </w:rPr>
  </w:style>
  <w:style w:type="paragraph" w:styleId="berschrift4">
    <w:name w:val="heading 4"/>
    <w:next w:val="Standard"/>
    <w:link w:val="berschrift4Zchn"/>
    <w:uiPriority w:val="9"/>
    <w:unhideWhenUsed/>
    <w:qFormat/>
    <w:pPr>
      <w:keepNext/>
      <w:keepLines/>
      <w:spacing w:after="5" w:line="249" w:lineRule="auto"/>
      <w:ind w:left="718" w:hanging="10"/>
      <w:outlineLvl w:val="3"/>
    </w:pPr>
    <w:rPr>
      <w:rFonts w:ascii="Calibri" w:eastAsia="Calibri" w:hAnsi="Calibri" w:cs="Calibri"/>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Calibri" w:eastAsia="Calibri" w:hAnsi="Calibri" w:cs="Calibri"/>
      <w:color w:val="000000"/>
      <w:sz w:val="28"/>
    </w:rPr>
  </w:style>
  <w:style w:type="character" w:customStyle="1" w:styleId="berschrift1Zchn">
    <w:name w:val="Überschrift 1 Zchn"/>
    <w:link w:val="berschrift1"/>
    <w:rPr>
      <w:rFonts w:ascii="Calibri" w:eastAsia="Calibri" w:hAnsi="Calibri" w:cs="Calibri"/>
      <w:color w:val="000000"/>
      <w:sz w:val="32"/>
    </w:rPr>
  </w:style>
  <w:style w:type="paragraph" w:customStyle="1" w:styleId="footnotedescription">
    <w:name w:val="footnote description"/>
    <w:next w:val="Standard"/>
    <w:link w:val="footnotedescriptionChar"/>
    <w:hidden/>
    <w:pPr>
      <w:spacing w:after="0" w:line="251" w:lineRule="auto"/>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berschrift4Zchn">
    <w:name w:val="Überschrift 4 Zchn"/>
    <w:link w:val="berschrift4"/>
    <w:rPr>
      <w:rFonts w:ascii="Calibri" w:eastAsia="Calibri" w:hAnsi="Calibri" w:cs="Calibri"/>
      <w:i/>
      <w:color w:val="000000"/>
      <w:sz w:val="22"/>
    </w:rPr>
  </w:style>
  <w:style w:type="character" w:customStyle="1" w:styleId="berschrift2Zchn">
    <w:name w:val="Überschrift 2 Zchn"/>
    <w:link w:val="berschrift2"/>
    <w:rPr>
      <w:rFonts w:ascii="Calibri" w:eastAsia="Calibri" w:hAnsi="Calibri" w:cs="Calibri"/>
      <w:color w:val="000000"/>
      <w:sz w:val="28"/>
    </w:rPr>
  </w:style>
  <w:style w:type="paragraph" w:styleId="Verzeichnis1">
    <w:name w:val="toc 1"/>
    <w:hidden/>
    <w:pPr>
      <w:spacing w:after="101" w:line="248" w:lineRule="auto"/>
      <w:ind w:left="25" w:right="23" w:hanging="10"/>
    </w:pPr>
    <w:rPr>
      <w:rFonts w:ascii="Calibri" w:eastAsia="Calibri" w:hAnsi="Calibri" w:cs="Calibri"/>
      <w:color w:val="000000"/>
    </w:rPr>
  </w:style>
  <w:style w:type="paragraph" w:styleId="Verzeichnis2">
    <w:name w:val="toc 2"/>
    <w:hidden/>
    <w:pPr>
      <w:spacing w:after="103" w:line="248" w:lineRule="auto"/>
      <w:ind w:left="246" w:right="23" w:hanging="10"/>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paragraph" w:styleId="Kopfzeile">
    <w:name w:val="header"/>
    <w:basedOn w:val="Standard"/>
    <w:link w:val="KopfzeileZchn"/>
    <w:uiPriority w:val="99"/>
    <w:semiHidden/>
    <w:unhideWhenUsed/>
    <w:rsid w:val="0087182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71828"/>
    <w:rPr>
      <w:rFonts w:ascii="Calibri" w:eastAsia="Calibri" w:hAnsi="Calibri" w:cs="Calibri"/>
      <w:color w:val="000000"/>
    </w:rPr>
  </w:style>
  <w:style w:type="paragraph" w:styleId="Fuzeile">
    <w:name w:val="footer"/>
    <w:basedOn w:val="Standard"/>
    <w:link w:val="FuzeileZchn"/>
    <w:uiPriority w:val="99"/>
    <w:semiHidden/>
    <w:unhideWhenUsed/>
    <w:rsid w:val="0087182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71828"/>
    <w:rPr>
      <w:rFonts w:ascii="Calibri" w:eastAsia="Calibri" w:hAnsi="Calibri" w:cs="Calibri"/>
      <w:color w:val="000000"/>
    </w:rPr>
  </w:style>
  <w:style w:type="character" w:styleId="Hyperlink">
    <w:name w:val="Hyperlink"/>
    <w:basedOn w:val="Absatz-Standardschriftart"/>
    <w:uiPriority w:val="99"/>
    <w:unhideWhenUsed/>
    <w:rsid w:val="00AD545F"/>
    <w:rPr>
      <w:color w:val="0563C1" w:themeColor="hyperlink"/>
      <w:u w:val="single"/>
    </w:rPr>
  </w:style>
  <w:style w:type="paragraph" w:styleId="Funotentext">
    <w:name w:val="footnote text"/>
    <w:basedOn w:val="Standard"/>
    <w:link w:val="FunotentextZchn"/>
    <w:uiPriority w:val="99"/>
    <w:semiHidden/>
    <w:unhideWhenUsed/>
    <w:rsid w:val="008F09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0973"/>
    <w:rPr>
      <w:rFonts w:ascii="Calibri" w:eastAsia="Calibri" w:hAnsi="Calibri" w:cs="Calibri"/>
      <w:color w:val="000000"/>
      <w:sz w:val="20"/>
      <w:szCs w:val="20"/>
    </w:rPr>
  </w:style>
  <w:style w:type="character" w:styleId="Funotenzeichen">
    <w:name w:val="footnote reference"/>
    <w:basedOn w:val="Absatz-Standardschriftart"/>
    <w:uiPriority w:val="99"/>
    <w:semiHidden/>
    <w:unhideWhenUsed/>
    <w:rsid w:val="008F09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xyz.at(hi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xyz.a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F94280090BE749B2B30DEBC86CB8A0" ma:contentTypeVersion="17" ma:contentTypeDescription="Create a new document." ma:contentTypeScope="" ma:versionID="0c4b8667335389b15d1b2d237589f943">
  <xsd:schema xmlns:xsd="http://www.w3.org/2001/XMLSchema" xmlns:xs="http://www.w3.org/2001/XMLSchema" xmlns:p="http://schemas.microsoft.com/office/2006/metadata/properties" xmlns:ns2="a71f1b64-6959-4748-a419-803477315a2f" xmlns:ns3="93742ac5-9492-421c-bed7-a9f9a7aba863" targetNamespace="http://schemas.microsoft.com/office/2006/metadata/properties" ma:root="true" ma:fieldsID="2dec111f2e1d5f2c0aca378938221fa6" ns2:_="" ns3:_="">
    <xsd:import namespace="a71f1b64-6959-4748-a419-803477315a2f"/>
    <xsd:import namespace="93742ac5-9492-421c-bed7-a9f9a7aba8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f1b64-6959-4748-a419-803477315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10f5774-708d-4f19-b845-f7b854011f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42ac5-9492-421c-bed7-a9f9a7aba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05c2dff-b8d2-4350-ac42-5b4e7d579de4}" ma:internalName="TaxCatchAll" ma:showField="CatchAllData" ma:web="93742ac5-9492-421c-bed7-a9f9a7aba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1f1b64-6959-4748-a419-803477315a2f">
      <Terms xmlns="http://schemas.microsoft.com/office/infopath/2007/PartnerControls"/>
    </lcf76f155ced4ddcb4097134ff3c332f>
    <TaxCatchAll xmlns="93742ac5-9492-421c-bed7-a9f9a7aba863" xsi:nil="true"/>
  </documentManagement>
</p:properties>
</file>

<file path=customXml/itemProps1.xml><?xml version="1.0" encoding="utf-8"?>
<ds:datastoreItem xmlns:ds="http://schemas.openxmlformats.org/officeDocument/2006/customXml" ds:itemID="{D33F82C3-8171-4961-B0DB-01D37E4879D1}">
  <ds:schemaRefs>
    <ds:schemaRef ds:uri="http://schemas.openxmlformats.org/officeDocument/2006/bibliography"/>
  </ds:schemaRefs>
</ds:datastoreItem>
</file>

<file path=customXml/itemProps2.xml><?xml version="1.0" encoding="utf-8"?>
<ds:datastoreItem xmlns:ds="http://schemas.openxmlformats.org/officeDocument/2006/customXml" ds:itemID="{7645EA96-E8E4-49BF-AF91-E704E8F2BC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f1b64-6959-4748-a419-803477315a2f"/>
    <ds:schemaRef ds:uri="93742ac5-9492-421c-bed7-a9f9a7aba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F19C07-3807-481D-8D19-C554D7F40395}">
  <ds:schemaRefs>
    <ds:schemaRef ds:uri="http://schemas.microsoft.com/sharepoint/v3/contenttype/forms"/>
  </ds:schemaRefs>
</ds:datastoreItem>
</file>

<file path=customXml/itemProps4.xml><?xml version="1.0" encoding="utf-8"?>
<ds:datastoreItem xmlns:ds="http://schemas.openxmlformats.org/officeDocument/2006/customXml" ds:itemID="{93EC946F-4568-4AAC-BD76-AEBCAF04A468}">
  <ds:schemaRefs>
    <ds:schemaRef ds:uri="http://schemas.microsoft.com/office/2006/metadata/properties"/>
    <ds:schemaRef ds:uri="http://schemas.microsoft.com/office/infopath/2007/PartnerControls"/>
    <ds:schemaRef ds:uri="a71f1b64-6959-4748-a419-803477315a2f"/>
    <ds:schemaRef ds:uri="93742ac5-9492-421c-bed7-a9f9a7aba86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Links>
    <vt:vector size="6" baseType="variant">
      <vt:variant>
        <vt:i4>6750323</vt:i4>
      </vt:variant>
      <vt:variant>
        <vt:i4>0</vt:i4>
      </vt:variant>
      <vt:variant>
        <vt:i4>0</vt:i4>
      </vt:variant>
      <vt:variant>
        <vt:i4>5</vt:i4>
      </vt:variant>
      <vt:variant>
        <vt:lpwstr>http://www.xyz.at/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Lauder</dc:creator>
  <cp:keywords/>
  <cp:lastModifiedBy>Ines Schnur</cp:lastModifiedBy>
  <cp:revision>50</cp:revision>
  <dcterms:created xsi:type="dcterms:W3CDTF">2021-11-18T10:55:00Z</dcterms:created>
  <dcterms:modified xsi:type="dcterms:W3CDTF">2023-08-29T11:45:00Z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0x010100EBF94280090BE749B2B30DEBC86CB8A0</vt:lpwstr>
  </property>
  <property fmtid="{D5CDD505-2E9C-101B-9397-08002B2CF9AE}" pid="3" name="MediaServiceImageTags">
    <vt:lpwstr/>
  </property>
</Properties>
</file>